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A97CDB" w14:textId="77777777" w:rsidR="00110698" w:rsidRDefault="00110698" w:rsidP="00110698">
      <w:pPr>
        <w:rPr>
          <w:rFonts w:ascii="Arial" w:hAnsi="Arial" w:cs="Arial"/>
          <w:b/>
          <w:i/>
          <w:sz w:val="22"/>
        </w:rPr>
      </w:pPr>
    </w:p>
    <w:p w14:paraId="5F27C4BC" w14:textId="77777777" w:rsidR="00110698" w:rsidRPr="00743BE2" w:rsidRDefault="00110698" w:rsidP="00110698">
      <w:pPr>
        <w:jc w:val="center"/>
        <w:rPr>
          <w:rFonts w:ascii="Arial" w:hAnsi="Arial" w:cs="Arial"/>
          <w:b/>
          <w:color w:val="FF0000"/>
          <w:sz w:val="28"/>
          <w:szCs w:val="28"/>
        </w:rPr>
      </w:pPr>
      <w:r w:rsidRPr="00743BE2">
        <w:rPr>
          <w:rFonts w:ascii="Arial" w:hAnsi="Arial" w:cs="Arial"/>
          <w:b/>
          <w:color w:val="FF0000"/>
          <w:sz w:val="28"/>
          <w:szCs w:val="28"/>
        </w:rPr>
        <w:t xml:space="preserve">Annexe n°1 au cahier des clauses techniques particulières (CCTP) : </w:t>
      </w:r>
    </w:p>
    <w:p w14:paraId="13B33EC9" w14:textId="77777777" w:rsidR="00110698" w:rsidRPr="00743BE2" w:rsidRDefault="00110698" w:rsidP="00110698">
      <w:pPr>
        <w:jc w:val="center"/>
        <w:rPr>
          <w:rFonts w:ascii="Arial" w:hAnsi="Arial" w:cs="Arial"/>
          <w:b/>
          <w:color w:val="FF0000"/>
          <w:sz w:val="28"/>
          <w:szCs w:val="28"/>
        </w:rPr>
      </w:pPr>
      <w:r w:rsidRPr="00743BE2">
        <w:rPr>
          <w:rFonts w:ascii="Arial" w:hAnsi="Arial" w:cs="Arial"/>
          <w:b/>
          <w:color w:val="FF0000"/>
          <w:sz w:val="28"/>
          <w:szCs w:val="28"/>
        </w:rPr>
        <w:t xml:space="preserve">« Questionnaire technique »  </w:t>
      </w:r>
    </w:p>
    <w:p w14:paraId="5E7C5A5E" w14:textId="77777777" w:rsidR="00110698" w:rsidRPr="00147C89" w:rsidRDefault="00110698" w:rsidP="00110698">
      <w:pPr>
        <w:jc w:val="center"/>
        <w:rPr>
          <w:rFonts w:ascii="Calibri" w:hAnsi="Calibri" w:cs="Calibri"/>
          <w:b/>
          <w:color w:val="FF0000"/>
          <w:sz w:val="28"/>
          <w:szCs w:val="28"/>
        </w:rPr>
      </w:pPr>
    </w:p>
    <w:p w14:paraId="63A3AE93" w14:textId="77777777" w:rsidR="00110698" w:rsidRDefault="00110698" w:rsidP="00110698">
      <w:pPr>
        <w:numPr>
          <w:ilvl w:val="12"/>
          <w:numId w:val="0"/>
        </w:numPr>
        <w:jc w:val="center"/>
        <w:rPr>
          <w:rFonts w:ascii="Arial" w:hAnsi="Arial" w:cs="Arial"/>
          <w:sz w:val="22"/>
        </w:rPr>
      </w:pPr>
    </w:p>
    <w:tbl>
      <w:tblPr>
        <w:tblW w:w="1034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12"/>
        <w:gridCol w:w="4536"/>
      </w:tblGrid>
      <w:tr w:rsidR="00110698" w:rsidRPr="00743BE2" w14:paraId="2888AF9C" w14:textId="77777777" w:rsidTr="002A5189">
        <w:tblPrEx>
          <w:tblCellMar>
            <w:top w:w="0" w:type="dxa"/>
            <w:bottom w:w="0" w:type="dxa"/>
          </w:tblCellMar>
        </w:tblPrEx>
        <w:tc>
          <w:tcPr>
            <w:tcW w:w="5812" w:type="dxa"/>
          </w:tcPr>
          <w:p w14:paraId="196D22DC" w14:textId="77777777" w:rsidR="00110698" w:rsidRPr="00743BE2" w:rsidRDefault="00110698" w:rsidP="002A5189">
            <w:pPr>
              <w:jc w:val="center"/>
              <w:rPr>
                <w:rFonts w:ascii="Arial" w:hAnsi="Arial" w:cs="Arial"/>
                <w:b/>
                <w:sz w:val="22"/>
                <w:szCs w:val="22"/>
              </w:rPr>
            </w:pPr>
            <w:r w:rsidRPr="00743BE2">
              <w:rPr>
                <w:rFonts w:ascii="Arial" w:hAnsi="Arial" w:cs="Arial"/>
                <w:b/>
                <w:sz w:val="22"/>
                <w:szCs w:val="22"/>
              </w:rPr>
              <w:t>Technique</w:t>
            </w:r>
          </w:p>
        </w:tc>
        <w:tc>
          <w:tcPr>
            <w:tcW w:w="4536" w:type="dxa"/>
          </w:tcPr>
          <w:p w14:paraId="0ADF0327" w14:textId="77777777" w:rsidR="00110698" w:rsidRPr="00743BE2" w:rsidRDefault="00110698" w:rsidP="002A5189">
            <w:pPr>
              <w:jc w:val="center"/>
              <w:rPr>
                <w:rFonts w:ascii="Arial" w:hAnsi="Arial" w:cs="Arial"/>
                <w:b/>
                <w:sz w:val="22"/>
                <w:szCs w:val="22"/>
              </w:rPr>
            </w:pPr>
            <w:r w:rsidRPr="00743BE2">
              <w:rPr>
                <w:rFonts w:ascii="Arial" w:hAnsi="Arial" w:cs="Arial"/>
                <w:b/>
                <w:sz w:val="22"/>
                <w:szCs w:val="22"/>
              </w:rPr>
              <w:t>Réponse société</w:t>
            </w:r>
          </w:p>
        </w:tc>
      </w:tr>
      <w:tr w:rsidR="00110698" w:rsidRPr="00743BE2" w14:paraId="647A83E6" w14:textId="77777777" w:rsidTr="002A5189">
        <w:tblPrEx>
          <w:tblCellMar>
            <w:top w:w="0" w:type="dxa"/>
            <w:bottom w:w="0" w:type="dxa"/>
          </w:tblCellMar>
        </w:tblPrEx>
        <w:trPr>
          <w:trHeight w:val="585"/>
        </w:trPr>
        <w:tc>
          <w:tcPr>
            <w:tcW w:w="5812" w:type="dxa"/>
            <w:vAlign w:val="center"/>
          </w:tcPr>
          <w:p w14:paraId="1EC5AF3E" w14:textId="77777777" w:rsidR="00110698" w:rsidRPr="00743BE2" w:rsidRDefault="00110698" w:rsidP="002A5189">
            <w:pPr>
              <w:rPr>
                <w:rFonts w:ascii="Arial" w:hAnsi="Arial" w:cs="Arial"/>
                <w:sz w:val="22"/>
                <w:szCs w:val="22"/>
              </w:rPr>
            </w:pPr>
            <w:r w:rsidRPr="00743BE2">
              <w:rPr>
                <w:rFonts w:ascii="Arial" w:hAnsi="Arial" w:cs="Arial"/>
                <w:sz w:val="22"/>
                <w:szCs w:val="22"/>
              </w:rPr>
              <w:t>Vérifications parcours, sens et étiquetages des réseaux</w:t>
            </w:r>
          </w:p>
        </w:tc>
        <w:tc>
          <w:tcPr>
            <w:tcW w:w="4536" w:type="dxa"/>
          </w:tcPr>
          <w:p w14:paraId="20E0A083" w14:textId="77777777" w:rsidR="00110698" w:rsidRPr="00743BE2" w:rsidRDefault="00110698" w:rsidP="002A5189">
            <w:pPr>
              <w:rPr>
                <w:rFonts w:ascii="Arial" w:hAnsi="Arial" w:cs="Arial"/>
                <w:sz w:val="22"/>
                <w:szCs w:val="22"/>
              </w:rPr>
            </w:pPr>
          </w:p>
        </w:tc>
      </w:tr>
      <w:tr w:rsidR="00110698" w:rsidRPr="00743BE2" w14:paraId="506E4BA3" w14:textId="77777777" w:rsidTr="002A5189">
        <w:tblPrEx>
          <w:tblCellMar>
            <w:top w:w="0" w:type="dxa"/>
            <w:bottom w:w="0" w:type="dxa"/>
          </w:tblCellMar>
        </w:tblPrEx>
        <w:trPr>
          <w:trHeight w:val="1543"/>
        </w:trPr>
        <w:tc>
          <w:tcPr>
            <w:tcW w:w="5812" w:type="dxa"/>
            <w:vAlign w:val="center"/>
          </w:tcPr>
          <w:p w14:paraId="4B23053E" w14:textId="77777777" w:rsidR="00110698" w:rsidRPr="00743BE2" w:rsidRDefault="00110698" w:rsidP="002A5189">
            <w:pPr>
              <w:rPr>
                <w:rFonts w:ascii="Arial" w:hAnsi="Arial" w:cs="Arial"/>
                <w:sz w:val="22"/>
                <w:szCs w:val="22"/>
              </w:rPr>
            </w:pPr>
            <w:r w:rsidRPr="00743BE2">
              <w:rPr>
                <w:rFonts w:ascii="Arial" w:hAnsi="Arial" w:cs="Arial"/>
                <w:sz w:val="22"/>
                <w:szCs w:val="22"/>
              </w:rPr>
              <w:t>Nombre de prises identifiées « services critiques »</w:t>
            </w:r>
          </w:p>
          <w:p w14:paraId="198CEA93" w14:textId="77777777" w:rsidR="00110698" w:rsidRPr="00743BE2" w:rsidRDefault="00110698" w:rsidP="002A5189">
            <w:pPr>
              <w:rPr>
                <w:rFonts w:ascii="Arial" w:hAnsi="Arial" w:cs="Arial"/>
                <w:sz w:val="22"/>
                <w:szCs w:val="22"/>
              </w:rPr>
            </w:pPr>
            <w:r w:rsidRPr="00743BE2">
              <w:rPr>
                <w:rFonts w:ascii="Arial" w:hAnsi="Arial" w:cs="Arial"/>
                <w:sz w:val="22"/>
                <w:szCs w:val="22"/>
              </w:rPr>
              <w:t>(</w:t>
            </w:r>
            <w:proofErr w:type="gramStart"/>
            <w:r w:rsidRPr="00743BE2">
              <w:rPr>
                <w:rFonts w:ascii="Arial" w:hAnsi="Arial" w:cs="Arial"/>
                <w:sz w:val="22"/>
                <w:szCs w:val="22"/>
              </w:rPr>
              <w:t>pour</w:t>
            </w:r>
            <w:proofErr w:type="gramEnd"/>
            <w:r w:rsidRPr="00743BE2">
              <w:rPr>
                <w:rFonts w:ascii="Arial" w:hAnsi="Arial" w:cs="Arial"/>
                <w:sz w:val="22"/>
                <w:szCs w:val="22"/>
              </w:rPr>
              <w:t xml:space="preserve"> le CHD : </w:t>
            </w:r>
            <w:r w:rsidRPr="00743BE2">
              <w:rPr>
                <w:rFonts w:ascii="Arial" w:hAnsi="Arial" w:cs="Arial"/>
                <w:b/>
                <w:sz w:val="22"/>
                <w:szCs w:val="22"/>
              </w:rPr>
              <w:t>urgences, bloc opératoire, salle de réveil, surveillance continue, USIC, réanimation,  pneumologie</w:t>
            </w:r>
            <w:r>
              <w:rPr>
                <w:rFonts w:ascii="Arial" w:hAnsi="Arial" w:cs="Arial"/>
                <w:b/>
                <w:sz w:val="22"/>
                <w:szCs w:val="22"/>
              </w:rPr>
              <w:t>, pédiatrie petits enfants, néonatalogie, salles de naissance ou bloc obstétrique</w:t>
            </w:r>
            <w:r w:rsidRPr="00743BE2">
              <w:rPr>
                <w:rFonts w:ascii="Arial" w:hAnsi="Arial" w:cs="Arial"/>
                <w:sz w:val="22"/>
                <w:szCs w:val="22"/>
              </w:rPr>
              <w:t xml:space="preserve"> - remplacement du guide embout filtre clapet tous les ans)</w:t>
            </w:r>
          </w:p>
        </w:tc>
        <w:tc>
          <w:tcPr>
            <w:tcW w:w="4536" w:type="dxa"/>
          </w:tcPr>
          <w:p w14:paraId="4E0FD514" w14:textId="77777777" w:rsidR="00110698" w:rsidRPr="00743BE2" w:rsidRDefault="00110698" w:rsidP="002A5189">
            <w:pPr>
              <w:rPr>
                <w:rFonts w:ascii="Arial" w:hAnsi="Arial" w:cs="Arial"/>
                <w:sz w:val="22"/>
                <w:szCs w:val="22"/>
              </w:rPr>
            </w:pPr>
          </w:p>
        </w:tc>
      </w:tr>
      <w:tr w:rsidR="00110698" w:rsidRPr="00743BE2" w14:paraId="31BBC593" w14:textId="77777777" w:rsidTr="002A5189">
        <w:tblPrEx>
          <w:tblCellMar>
            <w:top w:w="0" w:type="dxa"/>
            <w:bottom w:w="0" w:type="dxa"/>
          </w:tblCellMar>
        </w:tblPrEx>
        <w:trPr>
          <w:trHeight w:val="613"/>
        </w:trPr>
        <w:tc>
          <w:tcPr>
            <w:tcW w:w="5812" w:type="dxa"/>
            <w:vAlign w:val="center"/>
          </w:tcPr>
          <w:p w14:paraId="32589138" w14:textId="77777777" w:rsidR="00110698" w:rsidRPr="00743BE2" w:rsidRDefault="00110698" w:rsidP="002A5189">
            <w:pPr>
              <w:rPr>
                <w:rFonts w:ascii="Arial" w:hAnsi="Arial" w:cs="Arial"/>
                <w:sz w:val="22"/>
                <w:szCs w:val="22"/>
              </w:rPr>
            </w:pPr>
            <w:proofErr w:type="gramStart"/>
            <w:r w:rsidRPr="00743BE2">
              <w:rPr>
                <w:rFonts w:ascii="Arial" w:hAnsi="Arial" w:cs="Arial"/>
                <w:sz w:val="22"/>
                <w:szCs w:val="22"/>
              </w:rPr>
              <w:t>Maintenance régulateurs</w:t>
            </w:r>
            <w:proofErr w:type="gramEnd"/>
            <w:r w:rsidRPr="00743BE2">
              <w:rPr>
                <w:rFonts w:ascii="Arial" w:hAnsi="Arial" w:cs="Arial"/>
                <w:sz w:val="22"/>
                <w:szCs w:val="22"/>
              </w:rPr>
              <w:t> : fréquence et modalités</w:t>
            </w:r>
          </w:p>
        </w:tc>
        <w:tc>
          <w:tcPr>
            <w:tcW w:w="4536" w:type="dxa"/>
          </w:tcPr>
          <w:p w14:paraId="0AC7E57E" w14:textId="77777777" w:rsidR="00110698" w:rsidRPr="00743BE2" w:rsidRDefault="00110698" w:rsidP="002A5189">
            <w:pPr>
              <w:rPr>
                <w:rFonts w:ascii="Arial" w:hAnsi="Arial" w:cs="Arial"/>
                <w:sz w:val="22"/>
                <w:szCs w:val="22"/>
              </w:rPr>
            </w:pPr>
          </w:p>
        </w:tc>
      </w:tr>
      <w:tr w:rsidR="00110698" w:rsidRPr="00743BE2" w14:paraId="4ACB4906" w14:textId="77777777" w:rsidTr="002A5189">
        <w:tblPrEx>
          <w:tblCellMar>
            <w:top w:w="0" w:type="dxa"/>
            <w:bottom w:w="0" w:type="dxa"/>
          </w:tblCellMar>
        </w:tblPrEx>
        <w:trPr>
          <w:trHeight w:val="693"/>
        </w:trPr>
        <w:tc>
          <w:tcPr>
            <w:tcW w:w="5812" w:type="dxa"/>
            <w:vAlign w:val="center"/>
          </w:tcPr>
          <w:p w14:paraId="0B977817" w14:textId="77777777" w:rsidR="00110698" w:rsidRPr="00743BE2" w:rsidRDefault="00110698" w:rsidP="002A5189">
            <w:pPr>
              <w:rPr>
                <w:rFonts w:ascii="Arial" w:hAnsi="Arial" w:cs="Arial"/>
                <w:sz w:val="22"/>
                <w:szCs w:val="22"/>
              </w:rPr>
            </w:pPr>
            <w:proofErr w:type="spellStart"/>
            <w:r w:rsidRPr="00743BE2">
              <w:rPr>
                <w:rFonts w:ascii="Arial" w:hAnsi="Arial" w:cs="Arial"/>
                <w:sz w:val="22"/>
                <w:szCs w:val="22"/>
              </w:rPr>
              <w:t>Replombage</w:t>
            </w:r>
            <w:proofErr w:type="spellEnd"/>
            <w:r w:rsidRPr="00743BE2">
              <w:rPr>
                <w:rFonts w:ascii="Arial" w:hAnsi="Arial" w:cs="Arial"/>
                <w:sz w:val="22"/>
                <w:szCs w:val="22"/>
              </w:rPr>
              <w:t xml:space="preserve"> des armoires de régulateurs avec plombs numérotés (fournir un exemple)</w:t>
            </w:r>
          </w:p>
        </w:tc>
        <w:tc>
          <w:tcPr>
            <w:tcW w:w="4536" w:type="dxa"/>
          </w:tcPr>
          <w:p w14:paraId="4CE6BC1B" w14:textId="77777777" w:rsidR="00110698" w:rsidRPr="00743BE2" w:rsidRDefault="00110698" w:rsidP="002A5189">
            <w:pPr>
              <w:rPr>
                <w:rFonts w:ascii="Arial" w:hAnsi="Arial" w:cs="Arial"/>
                <w:sz w:val="22"/>
                <w:szCs w:val="22"/>
              </w:rPr>
            </w:pPr>
          </w:p>
        </w:tc>
      </w:tr>
      <w:tr w:rsidR="00110698" w:rsidRPr="00743BE2" w14:paraId="43C2A32E" w14:textId="77777777" w:rsidTr="002A5189">
        <w:tblPrEx>
          <w:tblCellMar>
            <w:top w:w="0" w:type="dxa"/>
            <w:bottom w:w="0" w:type="dxa"/>
          </w:tblCellMar>
        </w:tblPrEx>
        <w:trPr>
          <w:trHeight w:val="1270"/>
        </w:trPr>
        <w:tc>
          <w:tcPr>
            <w:tcW w:w="5812" w:type="dxa"/>
            <w:vAlign w:val="center"/>
          </w:tcPr>
          <w:p w14:paraId="73BD56A0" w14:textId="77777777" w:rsidR="00110698" w:rsidRPr="00743BE2" w:rsidRDefault="00110698" w:rsidP="002A5189">
            <w:pPr>
              <w:jc w:val="both"/>
              <w:rPr>
                <w:rFonts w:ascii="Arial" w:hAnsi="Arial" w:cs="Arial"/>
                <w:sz w:val="22"/>
                <w:szCs w:val="22"/>
              </w:rPr>
            </w:pPr>
            <w:r w:rsidRPr="00743BE2">
              <w:rPr>
                <w:rFonts w:ascii="Arial" w:eastAsia="Roboto" w:hAnsi="Arial" w:cs="Arial"/>
                <w:sz w:val="22"/>
                <w:szCs w:val="22"/>
              </w:rPr>
              <w:t>Traçabilité de la maintenance par apposition sur les matériels d’une étiquette d’entretien ou de contrôle en fonction de la nature de la prestation réalisée et son année de réalisation. Fournir un exemplaire</w:t>
            </w:r>
          </w:p>
        </w:tc>
        <w:tc>
          <w:tcPr>
            <w:tcW w:w="4536" w:type="dxa"/>
          </w:tcPr>
          <w:p w14:paraId="41B12419" w14:textId="77777777" w:rsidR="00110698" w:rsidRPr="00743BE2" w:rsidRDefault="00110698" w:rsidP="002A5189">
            <w:pPr>
              <w:rPr>
                <w:rFonts w:ascii="Arial" w:hAnsi="Arial" w:cs="Arial"/>
                <w:sz w:val="22"/>
                <w:szCs w:val="22"/>
              </w:rPr>
            </w:pPr>
          </w:p>
        </w:tc>
      </w:tr>
      <w:tr w:rsidR="00110698" w:rsidRPr="00743BE2" w14:paraId="1BA91167" w14:textId="77777777" w:rsidTr="002A5189">
        <w:tblPrEx>
          <w:tblCellMar>
            <w:top w:w="0" w:type="dxa"/>
            <w:bottom w:w="0" w:type="dxa"/>
          </w:tblCellMar>
        </w:tblPrEx>
        <w:trPr>
          <w:trHeight w:val="693"/>
        </w:trPr>
        <w:tc>
          <w:tcPr>
            <w:tcW w:w="5812" w:type="dxa"/>
            <w:vAlign w:val="center"/>
          </w:tcPr>
          <w:p w14:paraId="1CFAFC39" w14:textId="77777777" w:rsidR="00110698" w:rsidRPr="00743BE2" w:rsidRDefault="00110698" w:rsidP="002A5189">
            <w:pPr>
              <w:rPr>
                <w:rFonts w:ascii="Arial" w:hAnsi="Arial" w:cs="Arial"/>
                <w:sz w:val="22"/>
                <w:szCs w:val="22"/>
              </w:rPr>
            </w:pPr>
            <w:r w:rsidRPr="00743BE2">
              <w:rPr>
                <w:rFonts w:ascii="Arial" w:hAnsi="Arial" w:cs="Arial"/>
                <w:sz w:val="22"/>
                <w:szCs w:val="22"/>
              </w:rPr>
              <w:t xml:space="preserve">Durée de la maintenance préventive </w:t>
            </w:r>
          </w:p>
          <w:p w14:paraId="63AAC862" w14:textId="77777777" w:rsidR="00110698" w:rsidRPr="00743BE2" w:rsidRDefault="00110698" w:rsidP="00110698">
            <w:pPr>
              <w:numPr>
                <w:ilvl w:val="0"/>
                <w:numId w:val="1"/>
              </w:numPr>
              <w:jc w:val="both"/>
              <w:rPr>
                <w:rFonts w:ascii="Arial" w:hAnsi="Arial" w:cs="Arial"/>
                <w:sz w:val="22"/>
                <w:szCs w:val="22"/>
              </w:rPr>
            </w:pPr>
            <w:proofErr w:type="gramStart"/>
            <w:r w:rsidRPr="00743BE2">
              <w:rPr>
                <w:rFonts w:ascii="Arial" w:hAnsi="Arial" w:cs="Arial"/>
                <w:sz w:val="22"/>
                <w:szCs w:val="22"/>
              </w:rPr>
              <w:t>tous</w:t>
            </w:r>
            <w:proofErr w:type="gramEnd"/>
            <w:r w:rsidRPr="00743BE2">
              <w:rPr>
                <w:rFonts w:ascii="Arial" w:hAnsi="Arial" w:cs="Arial"/>
                <w:sz w:val="22"/>
                <w:szCs w:val="22"/>
              </w:rPr>
              <w:t xml:space="preserve"> services</w:t>
            </w:r>
          </w:p>
        </w:tc>
        <w:tc>
          <w:tcPr>
            <w:tcW w:w="4536" w:type="dxa"/>
          </w:tcPr>
          <w:p w14:paraId="29D641DA" w14:textId="77777777" w:rsidR="00110698" w:rsidRPr="00743BE2" w:rsidRDefault="00110698" w:rsidP="002A5189">
            <w:pPr>
              <w:rPr>
                <w:rFonts w:ascii="Arial" w:hAnsi="Arial" w:cs="Arial"/>
                <w:sz w:val="22"/>
                <w:szCs w:val="22"/>
              </w:rPr>
            </w:pPr>
          </w:p>
        </w:tc>
      </w:tr>
      <w:tr w:rsidR="00110698" w:rsidRPr="00743BE2" w14:paraId="203FF321" w14:textId="77777777" w:rsidTr="002A5189">
        <w:tblPrEx>
          <w:tblCellMar>
            <w:top w:w="0" w:type="dxa"/>
            <w:bottom w:w="0" w:type="dxa"/>
          </w:tblCellMar>
        </w:tblPrEx>
        <w:trPr>
          <w:trHeight w:val="703"/>
        </w:trPr>
        <w:tc>
          <w:tcPr>
            <w:tcW w:w="5812" w:type="dxa"/>
            <w:vAlign w:val="center"/>
          </w:tcPr>
          <w:p w14:paraId="400D61A7" w14:textId="77777777" w:rsidR="00110698" w:rsidRPr="00743BE2" w:rsidRDefault="00110698" w:rsidP="002A5189">
            <w:pPr>
              <w:rPr>
                <w:rFonts w:ascii="Arial" w:hAnsi="Arial" w:cs="Arial"/>
                <w:sz w:val="22"/>
                <w:szCs w:val="22"/>
              </w:rPr>
            </w:pPr>
            <w:r w:rsidRPr="00743BE2">
              <w:rPr>
                <w:rFonts w:ascii="Arial" w:hAnsi="Arial" w:cs="Arial"/>
                <w:sz w:val="22"/>
                <w:szCs w:val="22"/>
              </w:rPr>
              <w:t>Durée de la maintenance préventive</w:t>
            </w:r>
          </w:p>
          <w:p w14:paraId="5C681736" w14:textId="77777777" w:rsidR="00110698" w:rsidRPr="00743BE2" w:rsidRDefault="00110698" w:rsidP="00110698">
            <w:pPr>
              <w:numPr>
                <w:ilvl w:val="0"/>
                <w:numId w:val="1"/>
              </w:numPr>
              <w:rPr>
                <w:rFonts w:ascii="Arial" w:hAnsi="Arial" w:cs="Arial"/>
                <w:sz w:val="22"/>
                <w:szCs w:val="22"/>
              </w:rPr>
            </w:pPr>
            <w:proofErr w:type="gramStart"/>
            <w:r w:rsidRPr="00743BE2">
              <w:rPr>
                <w:rFonts w:ascii="Arial" w:hAnsi="Arial" w:cs="Arial"/>
                <w:sz w:val="22"/>
                <w:szCs w:val="22"/>
              </w:rPr>
              <w:t>services</w:t>
            </w:r>
            <w:proofErr w:type="gramEnd"/>
            <w:r w:rsidRPr="00743BE2">
              <w:rPr>
                <w:rFonts w:ascii="Arial" w:hAnsi="Arial" w:cs="Arial"/>
                <w:sz w:val="22"/>
                <w:szCs w:val="22"/>
              </w:rPr>
              <w:t xml:space="preserve"> critiques uniquement</w:t>
            </w:r>
          </w:p>
        </w:tc>
        <w:tc>
          <w:tcPr>
            <w:tcW w:w="4536" w:type="dxa"/>
          </w:tcPr>
          <w:p w14:paraId="204F60C4" w14:textId="77777777" w:rsidR="00110698" w:rsidRPr="00743BE2" w:rsidRDefault="00110698" w:rsidP="002A5189">
            <w:pPr>
              <w:rPr>
                <w:rFonts w:ascii="Arial" w:hAnsi="Arial" w:cs="Arial"/>
                <w:sz w:val="22"/>
                <w:szCs w:val="22"/>
              </w:rPr>
            </w:pPr>
          </w:p>
        </w:tc>
      </w:tr>
      <w:tr w:rsidR="00110698" w:rsidRPr="00743BE2" w14:paraId="2E38CA37" w14:textId="77777777" w:rsidTr="002A5189">
        <w:tblPrEx>
          <w:tblCellMar>
            <w:top w:w="0" w:type="dxa"/>
            <w:bottom w:w="0" w:type="dxa"/>
          </w:tblCellMar>
        </w:tblPrEx>
        <w:trPr>
          <w:trHeight w:val="631"/>
        </w:trPr>
        <w:tc>
          <w:tcPr>
            <w:tcW w:w="5812" w:type="dxa"/>
            <w:vAlign w:val="center"/>
          </w:tcPr>
          <w:p w14:paraId="505F0E1B" w14:textId="77777777" w:rsidR="00110698" w:rsidRPr="00743BE2" w:rsidRDefault="00110698" w:rsidP="002A5189">
            <w:pPr>
              <w:rPr>
                <w:rFonts w:ascii="Arial" w:hAnsi="Arial" w:cs="Arial"/>
                <w:sz w:val="22"/>
                <w:szCs w:val="22"/>
              </w:rPr>
            </w:pPr>
            <w:r w:rsidRPr="00743BE2">
              <w:rPr>
                <w:rFonts w:ascii="Arial" w:hAnsi="Arial" w:cs="Arial"/>
                <w:sz w:val="22"/>
                <w:szCs w:val="22"/>
              </w:rPr>
              <w:t>Délais d’intervention pour le curatif</w:t>
            </w:r>
            <w:r>
              <w:rPr>
                <w:rFonts w:ascii="Arial" w:hAnsi="Arial" w:cs="Arial"/>
                <w:sz w:val="22"/>
                <w:szCs w:val="22"/>
              </w:rPr>
              <w:t xml:space="preserve"> (pour rappel 2h ouvrées pour les interventions urgentes : oui/non ; préciser délai pour les interventions non urgentes)</w:t>
            </w:r>
          </w:p>
        </w:tc>
        <w:tc>
          <w:tcPr>
            <w:tcW w:w="4536" w:type="dxa"/>
          </w:tcPr>
          <w:p w14:paraId="69AD08D5" w14:textId="77777777" w:rsidR="00110698" w:rsidRPr="00743BE2" w:rsidRDefault="00110698" w:rsidP="002A5189">
            <w:pPr>
              <w:rPr>
                <w:rFonts w:ascii="Arial" w:hAnsi="Arial" w:cs="Arial"/>
                <w:sz w:val="22"/>
                <w:szCs w:val="22"/>
              </w:rPr>
            </w:pPr>
          </w:p>
        </w:tc>
      </w:tr>
      <w:tr w:rsidR="00110698" w:rsidRPr="00743BE2" w14:paraId="66219C2A" w14:textId="77777777" w:rsidTr="002A5189">
        <w:tblPrEx>
          <w:tblCellMar>
            <w:top w:w="0" w:type="dxa"/>
            <w:bottom w:w="0" w:type="dxa"/>
          </w:tblCellMar>
        </w:tblPrEx>
        <w:trPr>
          <w:trHeight w:val="691"/>
        </w:trPr>
        <w:tc>
          <w:tcPr>
            <w:tcW w:w="5812" w:type="dxa"/>
            <w:vAlign w:val="center"/>
          </w:tcPr>
          <w:p w14:paraId="53B27CF7" w14:textId="77777777" w:rsidR="00110698" w:rsidRPr="00743BE2" w:rsidRDefault="00110698" w:rsidP="002A5189">
            <w:pPr>
              <w:rPr>
                <w:rFonts w:ascii="Arial" w:hAnsi="Arial" w:cs="Arial"/>
                <w:sz w:val="22"/>
                <w:szCs w:val="22"/>
              </w:rPr>
            </w:pPr>
            <w:r w:rsidRPr="00743BE2">
              <w:rPr>
                <w:rFonts w:ascii="Arial" w:hAnsi="Arial" w:cs="Arial"/>
                <w:sz w:val="22"/>
                <w:szCs w:val="22"/>
              </w:rPr>
              <w:t>Mesure du délai d’intervention – permettant de contractualiser l’engagement</w:t>
            </w:r>
          </w:p>
        </w:tc>
        <w:tc>
          <w:tcPr>
            <w:tcW w:w="4536" w:type="dxa"/>
          </w:tcPr>
          <w:p w14:paraId="0170F989" w14:textId="77777777" w:rsidR="00110698" w:rsidRPr="00743BE2" w:rsidRDefault="00110698" w:rsidP="002A5189">
            <w:pPr>
              <w:rPr>
                <w:rFonts w:ascii="Arial" w:hAnsi="Arial" w:cs="Arial"/>
                <w:sz w:val="22"/>
                <w:szCs w:val="22"/>
              </w:rPr>
            </w:pPr>
          </w:p>
        </w:tc>
      </w:tr>
      <w:tr w:rsidR="00110698" w:rsidRPr="00743BE2" w14:paraId="6C47BAB3" w14:textId="77777777" w:rsidTr="002A5189">
        <w:tblPrEx>
          <w:tblCellMar>
            <w:top w:w="0" w:type="dxa"/>
            <w:bottom w:w="0" w:type="dxa"/>
          </w:tblCellMar>
        </w:tblPrEx>
        <w:trPr>
          <w:trHeight w:val="431"/>
        </w:trPr>
        <w:tc>
          <w:tcPr>
            <w:tcW w:w="5812" w:type="dxa"/>
            <w:vAlign w:val="center"/>
          </w:tcPr>
          <w:p w14:paraId="3270D538" w14:textId="77777777" w:rsidR="00110698" w:rsidRPr="00743BE2" w:rsidRDefault="00110698" w:rsidP="002A5189">
            <w:pPr>
              <w:rPr>
                <w:rFonts w:ascii="Arial" w:hAnsi="Arial" w:cs="Arial"/>
                <w:sz w:val="22"/>
                <w:szCs w:val="22"/>
              </w:rPr>
            </w:pPr>
            <w:r w:rsidRPr="00743BE2">
              <w:rPr>
                <w:rFonts w:ascii="Arial" w:hAnsi="Arial" w:cs="Arial"/>
                <w:sz w:val="22"/>
                <w:szCs w:val="22"/>
              </w:rPr>
              <w:t>Horaire d’ouverture SAV</w:t>
            </w:r>
          </w:p>
        </w:tc>
        <w:tc>
          <w:tcPr>
            <w:tcW w:w="4536" w:type="dxa"/>
          </w:tcPr>
          <w:p w14:paraId="2DB0A21B" w14:textId="77777777" w:rsidR="00110698" w:rsidRPr="00743BE2" w:rsidRDefault="00110698" w:rsidP="002A5189">
            <w:pPr>
              <w:rPr>
                <w:rFonts w:ascii="Arial" w:hAnsi="Arial" w:cs="Arial"/>
                <w:sz w:val="22"/>
                <w:szCs w:val="22"/>
              </w:rPr>
            </w:pPr>
          </w:p>
        </w:tc>
      </w:tr>
      <w:tr w:rsidR="00110698" w:rsidRPr="00743BE2" w14:paraId="6572FC75" w14:textId="77777777" w:rsidTr="002A5189">
        <w:tblPrEx>
          <w:tblCellMar>
            <w:top w:w="0" w:type="dxa"/>
            <w:bottom w:w="0" w:type="dxa"/>
          </w:tblCellMar>
        </w:tblPrEx>
        <w:trPr>
          <w:trHeight w:val="415"/>
        </w:trPr>
        <w:tc>
          <w:tcPr>
            <w:tcW w:w="5812" w:type="dxa"/>
            <w:vAlign w:val="center"/>
          </w:tcPr>
          <w:p w14:paraId="16D25D84" w14:textId="77777777" w:rsidR="00110698" w:rsidRPr="00743BE2" w:rsidRDefault="00110698" w:rsidP="002A5189">
            <w:pPr>
              <w:rPr>
                <w:rFonts w:ascii="Arial" w:hAnsi="Arial" w:cs="Arial"/>
                <w:sz w:val="22"/>
                <w:szCs w:val="22"/>
              </w:rPr>
            </w:pPr>
            <w:r w:rsidRPr="00743BE2">
              <w:rPr>
                <w:rFonts w:ascii="Arial" w:hAnsi="Arial" w:cs="Arial"/>
                <w:sz w:val="22"/>
                <w:szCs w:val="22"/>
              </w:rPr>
              <w:t>Délai envoi des rapports de maintenance</w:t>
            </w:r>
            <w:r>
              <w:rPr>
                <w:rFonts w:ascii="Arial" w:hAnsi="Arial" w:cs="Arial"/>
                <w:sz w:val="22"/>
                <w:szCs w:val="22"/>
              </w:rPr>
              <w:t xml:space="preserve"> (pour rappel 3 semaines max)</w:t>
            </w:r>
          </w:p>
        </w:tc>
        <w:tc>
          <w:tcPr>
            <w:tcW w:w="4536" w:type="dxa"/>
          </w:tcPr>
          <w:p w14:paraId="1F5A476E" w14:textId="77777777" w:rsidR="00110698" w:rsidRPr="00743BE2" w:rsidRDefault="00110698" w:rsidP="002A5189">
            <w:pPr>
              <w:rPr>
                <w:rFonts w:ascii="Arial" w:hAnsi="Arial" w:cs="Arial"/>
                <w:sz w:val="22"/>
                <w:szCs w:val="22"/>
              </w:rPr>
            </w:pPr>
          </w:p>
        </w:tc>
      </w:tr>
      <w:tr w:rsidR="00110698" w:rsidRPr="00743BE2" w14:paraId="28701544" w14:textId="77777777" w:rsidTr="002A5189">
        <w:tblPrEx>
          <w:tblCellMar>
            <w:top w:w="0" w:type="dxa"/>
            <w:bottom w:w="0" w:type="dxa"/>
          </w:tblCellMar>
        </w:tblPrEx>
        <w:trPr>
          <w:trHeight w:val="422"/>
        </w:trPr>
        <w:tc>
          <w:tcPr>
            <w:tcW w:w="5812" w:type="dxa"/>
            <w:vAlign w:val="center"/>
          </w:tcPr>
          <w:p w14:paraId="074C08DF" w14:textId="77777777" w:rsidR="00110698" w:rsidRPr="00743BE2" w:rsidRDefault="00110698" w:rsidP="002A5189">
            <w:pPr>
              <w:rPr>
                <w:rFonts w:ascii="Arial" w:hAnsi="Arial" w:cs="Arial"/>
                <w:sz w:val="22"/>
                <w:szCs w:val="22"/>
              </w:rPr>
            </w:pPr>
            <w:r w:rsidRPr="00743BE2">
              <w:rPr>
                <w:rFonts w:ascii="Arial" w:hAnsi="Arial" w:cs="Arial"/>
                <w:sz w:val="22"/>
                <w:szCs w:val="22"/>
              </w:rPr>
              <w:t>Délai envoi des devis</w:t>
            </w:r>
            <w:r>
              <w:rPr>
                <w:rFonts w:ascii="Arial" w:hAnsi="Arial" w:cs="Arial"/>
                <w:sz w:val="22"/>
                <w:szCs w:val="22"/>
              </w:rPr>
              <w:t xml:space="preserve"> (pour rappel 48h max)</w:t>
            </w:r>
          </w:p>
        </w:tc>
        <w:tc>
          <w:tcPr>
            <w:tcW w:w="4536" w:type="dxa"/>
          </w:tcPr>
          <w:p w14:paraId="0AFD09DD" w14:textId="77777777" w:rsidR="00110698" w:rsidRPr="00743BE2" w:rsidRDefault="00110698" w:rsidP="002A5189">
            <w:pPr>
              <w:rPr>
                <w:rFonts w:ascii="Arial" w:hAnsi="Arial" w:cs="Arial"/>
                <w:sz w:val="22"/>
                <w:szCs w:val="22"/>
              </w:rPr>
            </w:pPr>
          </w:p>
        </w:tc>
      </w:tr>
      <w:tr w:rsidR="00110698" w:rsidRPr="00743BE2" w14:paraId="56E8C16D" w14:textId="77777777" w:rsidTr="002A5189">
        <w:tblPrEx>
          <w:tblCellMar>
            <w:top w:w="0" w:type="dxa"/>
            <w:bottom w:w="0" w:type="dxa"/>
          </w:tblCellMar>
        </w:tblPrEx>
        <w:trPr>
          <w:trHeight w:val="651"/>
        </w:trPr>
        <w:tc>
          <w:tcPr>
            <w:tcW w:w="5812" w:type="dxa"/>
            <w:vAlign w:val="center"/>
          </w:tcPr>
          <w:p w14:paraId="6EEC8B18" w14:textId="77777777" w:rsidR="00110698" w:rsidRPr="00743BE2" w:rsidRDefault="00110698" w:rsidP="002A5189">
            <w:pPr>
              <w:rPr>
                <w:rFonts w:ascii="Arial" w:hAnsi="Arial" w:cs="Arial"/>
                <w:sz w:val="22"/>
                <w:szCs w:val="22"/>
              </w:rPr>
            </w:pPr>
            <w:r w:rsidRPr="00743BE2">
              <w:rPr>
                <w:rFonts w:ascii="Arial" w:hAnsi="Arial" w:cs="Arial"/>
                <w:sz w:val="22"/>
                <w:szCs w:val="22"/>
              </w:rPr>
              <w:t xml:space="preserve">Astreinte 24h/24 </w:t>
            </w:r>
            <w:r>
              <w:rPr>
                <w:rFonts w:ascii="Arial" w:hAnsi="Arial" w:cs="Arial"/>
                <w:sz w:val="22"/>
                <w:szCs w:val="22"/>
              </w:rPr>
              <w:t xml:space="preserve">incluse </w:t>
            </w:r>
            <w:r w:rsidRPr="00743BE2">
              <w:rPr>
                <w:rFonts w:ascii="Arial" w:hAnsi="Arial" w:cs="Arial"/>
                <w:sz w:val="22"/>
                <w:szCs w:val="22"/>
              </w:rPr>
              <w:t>(à détailler)</w:t>
            </w:r>
          </w:p>
        </w:tc>
        <w:tc>
          <w:tcPr>
            <w:tcW w:w="4536" w:type="dxa"/>
          </w:tcPr>
          <w:p w14:paraId="03A11D2C" w14:textId="77777777" w:rsidR="00110698" w:rsidRPr="00743BE2" w:rsidRDefault="00110698" w:rsidP="002A5189">
            <w:pPr>
              <w:rPr>
                <w:rFonts w:ascii="Arial" w:hAnsi="Arial" w:cs="Arial"/>
                <w:sz w:val="22"/>
                <w:szCs w:val="22"/>
              </w:rPr>
            </w:pPr>
          </w:p>
        </w:tc>
      </w:tr>
      <w:tr w:rsidR="00110698" w:rsidRPr="00743BE2" w14:paraId="4E3FFE67" w14:textId="77777777" w:rsidTr="002A5189">
        <w:tblPrEx>
          <w:tblCellMar>
            <w:top w:w="0" w:type="dxa"/>
            <w:bottom w:w="0" w:type="dxa"/>
          </w:tblCellMar>
        </w:tblPrEx>
        <w:trPr>
          <w:trHeight w:val="845"/>
        </w:trPr>
        <w:tc>
          <w:tcPr>
            <w:tcW w:w="5812" w:type="dxa"/>
            <w:vAlign w:val="center"/>
          </w:tcPr>
          <w:p w14:paraId="3A516563" w14:textId="77777777" w:rsidR="00110698" w:rsidRPr="00743BE2" w:rsidRDefault="00110698" w:rsidP="002A5189">
            <w:pPr>
              <w:rPr>
                <w:rFonts w:ascii="Arial" w:hAnsi="Arial" w:cs="Arial"/>
                <w:sz w:val="22"/>
                <w:szCs w:val="22"/>
              </w:rPr>
            </w:pPr>
            <w:r w:rsidRPr="00743BE2">
              <w:rPr>
                <w:rFonts w:ascii="Arial" w:hAnsi="Arial" w:cs="Arial"/>
                <w:sz w:val="22"/>
                <w:szCs w:val="22"/>
              </w:rPr>
              <w:t>Gestion de l’astreinte : numéro unique, numéro de secours, gestion de la traçabilité des appels, etc.</w:t>
            </w:r>
          </w:p>
        </w:tc>
        <w:tc>
          <w:tcPr>
            <w:tcW w:w="4536" w:type="dxa"/>
          </w:tcPr>
          <w:p w14:paraId="5FAB6B4B" w14:textId="77777777" w:rsidR="00110698" w:rsidRPr="00743BE2" w:rsidRDefault="00110698" w:rsidP="002A5189">
            <w:pPr>
              <w:rPr>
                <w:rFonts w:ascii="Arial" w:hAnsi="Arial" w:cs="Arial"/>
                <w:sz w:val="22"/>
                <w:szCs w:val="22"/>
              </w:rPr>
            </w:pPr>
          </w:p>
        </w:tc>
      </w:tr>
      <w:tr w:rsidR="00110698" w:rsidRPr="00743BE2" w14:paraId="1FE7008A" w14:textId="77777777" w:rsidTr="002A5189">
        <w:tblPrEx>
          <w:tblCellMar>
            <w:top w:w="0" w:type="dxa"/>
            <w:bottom w:w="0" w:type="dxa"/>
          </w:tblCellMar>
        </w:tblPrEx>
        <w:trPr>
          <w:trHeight w:val="842"/>
        </w:trPr>
        <w:tc>
          <w:tcPr>
            <w:tcW w:w="5812" w:type="dxa"/>
            <w:vAlign w:val="center"/>
          </w:tcPr>
          <w:p w14:paraId="080F8D50" w14:textId="77777777" w:rsidR="00110698" w:rsidRPr="00743BE2" w:rsidRDefault="00110698" w:rsidP="002A5189">
            <w:pPr>
              <w:rPr>
                <w:rFonts w:ascii="Arial" w:hAnsi="Arial" w:cs="Arial"/>
                <w:sz w:val="22"/>
                <w:szCs w:val="22"/>
              </w:rPr>
            </w:pPr>
            <w:r w:rsidRPr="00743BE2">
              <w:rPr>
                <w:rFonts w:ascii="Arial" w:hAnsi="Arial" w:cs="Arial"/>
                <w:sz w:val="22"/>
                <w:szCs w:val="22"/>
              </w:rPr>
              <w:lastRenderedPageBreak/>
              <w:t>Lieu d’implantation géographique de la plateforme d’appel d’astreinte</w:t>
            </w:r>
          </w:p>
        </w:tc>
        <w:tc>
          <w:tcPr>
            <w:tcW w:w="4536" w:type="dxa"/>
          </w:tcPr>
          <w:p w14:paraId="57ACEC02" w14:textId="77777777" w:rsidR="00110698" w:rsidRPr="00743BE2" w:rsidRDefault="00110698" w:rsidP="002A5189">
            <w:pPr>
              <w:rPr>
                <w:rFonts w:ascii="Arial" w:hAnsi="Arial" w:cs="Arial"/>
                <w:sz w:val="22"/>
                <w:szCs w:val="22"/>
              </w:rPr>
            </w:pPr>
          </w:p>
        </w:tc>
      </w:tr>
      <w:tr w:rsidR="00110698" w:rsidRPr="00743BE2" w14:paraId="0771419E" w14:textId="77777777" w:rsidTr="002A5189">
        <w:tblPrEx>
          <w:tblCellMar>
            <w:top w:w="0" w:type="dxa"/>
            <w:bottom w:w="0" w:type="dxa"/>
          </w:tblCellMar>
        </w:tblPrEx>
        <w:trPr>
          <w:trHeight w:val="1266"/>
        </w:trPr>
        <w:tc>
          <w:tcPr>
            <w:tcW w:w="5812" w:type="dxa"/>
            <w:vAlign w:val="center"/>
          </w:tcPr>
          <w:p w14:paraId="7C0C729D" w14:textId="77777777" w:rsidR="00110698" w:rsidRPr="00743BE2" w:rsidRDefault="00110698" w:rsidP="002A5189">
            <w:pPr>
              <w:rPr>
                <w:rFonts w:ascii="Arial" w:hAnsi="Arial" w:cs="Arial"/>
                <w:sz w:val="22"/>
                <w:szCs w:val="22"/>
              </w:rPr>
            </w:pPr>
            <w:r w:rsidRPr="00743BE2">
              <w:rPr>
                <w:rFonts w:ascii="Arial" w:hAnsi="Arial" w:cs="Arial"/>
                <w:sz w:val="22"/>
                <w:szCs w:val="22"/>
              </w:rPr>
              <w:t>Plan blanc ou plan de continuité d’activité : moyens mis en œuvre sous 1h, 4h, 8h </w:t>
            </w:r>
          </w:p>
        </w:tc>
        <w:tc>
          <w:tcPr>
            <w:tcW w:w="4536" w:type="dxa"/>
          </w:tcPr>
          <w:p w14:paraId="0495F1FE" w14:textId="77777777" w:rsidR="00110698" w:rsidRPr="00743BE2" w:rsidRDefault="00110698" w:rsidP="002A5189">
            <w:pPr>
              <w:rPr>
                <w:rFonts w:ascii="Arial" w:hAnsi="Arial" w:cs="Arial"/>
                <w:sz w:val="22"/>
                <w:szCs w:val="22"/>
              </w:rPr>
            </w:pPr>
          </w:p>
        </w:tc>
      </w:tr>
      <w:tr w:rsidR="00110698" w:rsidRPr="00743BE2" w14:paraId="76828663" w14:textId="77777777" w:rsidTr="002A5189">
        <w:tblPrEx>
          <w:tblCellMar>
            <w:top w:w="0" w:type="dxa"/>
            <w:bottom w:w="0" w:type="dxa"/>
          </w:tblCellMar>
        </w:tblPrEx>
        <w:tc>
          <w:tcPr>
            <w:tcW w:w="5812" w:type="dxa"/>
            <w:vAlign w:val="center"/>
          </w:tcPr>
          <w:p w14:paraId="1EEF018C" w14:textId="77777777" w:rsidR="00110698" w:rsidRPr="00743BE2" w:rsidRDefault="00110698" w:rsidP="002A5189">
            <w:pPr>
              <w:rPr>
                <w:rFonts w:ascii="Arial" w:hAnsi="Arial" w:cs="Arial"/>
                <w:sz w:val="22"/>
                <w:szCs w:val="22"/>
              </w:rPr>
            </w:pPr>
            <w:r w:rsidRPr="00743BE2">
              <w:rPr>
                <w:rFonts w:ascii="Arial" w:hAnsi="Arial" w:cs="Arial"/>
                <w:sz w:val="22"/>
                <w:szCs w:val="22"/>
              </w:rPr>
              <w:t>Fourniture des bouteilles, cadres, régulateurs, flexible</w:t>
            </w:r>
            <w:r>
              <w:rPr>
                <w:rFonts w:ascii="Arial" w:hAnsi="Arial" w:cs="Arial"/>
                <w:sz w:val="22"/>
                <w:szCs w:val="22"/>
              </w:rPr>
              <w:t>s</w:t>
            </w:r>
            <w:r w:rsidRPr="00743BE2">
              <w:rPr>
                <w:rFonts w:ascii="Arial" w:hAnsi="Arial" w:cs="Arial"/>
                <w:sz w:val="22"/>
                <w:szCs w:val="22"/>
              </w:rPr>
              <w:t xml:space="preserve">, détendeurs, pour </w:t>
            </w:r>
            <w:r>
              <w:rPr>
                <w:rFonts w:ascii="Arial" w:hAnsi="Arial" w:cs="Arial"/>
                <w:sz w:val="22"/>
                <w:szCs w:val="22"/>
              </w:rPr>
              <w:t>o</w:t>
            </w:r>
            <w:r w:rsidRPr="00743BE2">
              <w:rPr>
                <w:rFonts w:ascii="Arial" w:hAnsi="Arial" w:cs="Arial"/>
                <w:sz w:val="22"/>
                <w:szCs w:val="22"/>
              </w:rPr>
              <w:t xml:space="preserve">xygène, </w:t>
            </w:r>
            <w:r>
              <w:rPr>
                <w:rFonts w:ascii="Arial" w:hAnsi="Arial" w:cs="Arial"/>
                <w:sz w:val="22"/>
                <w:szCs w:val="22"/>
              </w:rPr>
              <w:t>a</w:t>
            </w:r>
            <w:r w:rsidRPr="00743BE2">
              <w:rPr>
                <w:rFonts w:ascii="Arial" w:hAnsi="Arial" w:cs="Arial"/>
                <w:sz w:val="22"/>
                <w:szCs w:val="22"/>
              </w:rPr>
              <w:t>ir</w:t>
            </w:r>
            <w:r>
              <w:rPr>
                <w:rFonts w:ascii="Arial" w:hAnsi="Arial" w:cs="Arial"/>
                <w:sz w:val="22"/>
                <w:szCs w:val="22"/>
              </w:rPr>
              <w:t>,</w:t>
            </w:r>
            <w:r w:rsidRPr="00743BE2">
              <w:rPr>
                <w:rFonts w:ascii="Arial" w:hAnsi="Arial" w:cs="Arial"/>
                <w:sz w:val="22"/>
                <w:szCs w:val="22"/>
              </w:rPr>
              <w:t xml:space="preserve"> etc.</w:t>
            </w:r>
            <w:r>
              <w:rPr>
                <w:rFonts w:ascii="Arial" w:hAnsi="Arial" w:cs="Arial"/>
                <w:sz w:val="22"/>
                <w:szCs w:val="22"/>
              </w:rPr>
              <w:t>,</w:t>
            </w:r>
            <w:r w:rsidRPr="00743BE2">
              <w:rPr>
                <w:rFonts w:ascii="Arial" w:hAnsi="Arial" w:cs="Arial"/>
                <w:sz w:val="22"/>
                <w:szCs w:val="22"/>
              </w:rPr>
              <w:t xml:space="preserve"> pour une continuité d’appro lors d</w:t>
            </w:r>
            <w:r>
              <w:rPr>
                <w:rFonts w:ascii="Arial" w:hAnsi="Arial" w:cs="Arial"/>
                <w:sz w:val="22"/>
                <w:szCs w:val="22"/>
              </w:rPr>
              <w:t>u curatif ou de modification réseau lors de travaux entrainant une rupture d’approvisionnement</w:t>
            </w:r>
            <w:r w:rsidRPr="00743BE2">
              <w:rPr>
                <w:rFonts w:ascii="Arial" w:hAnsi="Arial" w:cs="Arial"/>
                <w:sz w:val="22"/>
                <w:szCs w:val="22"/>
              </w:rPr>
              <w:t xml:space="preserve"> – quantité transmise par </w:t>
            </w:r>
            <w:smartTag w:uri="urn:schemas-microsoft-com:office:smarttags" w:element="PersonName">
              <w:smartTagPr>
                <w:attr w:name="ProductID" w:val="la Pharmacie"/>
              </w:smartTagPr>
              <w:r w:rsidRPr="00743BE2">
                <w:rPr>
                  <w:rFonts w:ascii="Arial" w:hAnsi="Arial" w:cs="Arial"/>
                  <w:sz w:val="22"/>
                  <w:szCs w:val="22"/>
                </w:rPr>
                <w:t>la Pharmacie</w:t>
              </w:r>
            </w:smartTag>
            <w:r w:rsidRPr="00743BE2">
              <w:rPr>
                <w:rFonts w:ascii="Arial" w:hAnsi="Arial" w:cs="Arial"/>
                <w:sz w:val="22"/>
                <w:szCs w:val="22"/>
              </w:rPr>
              <w:t xml:space="preserve"> du CHD</w:t>
            </w:r>
          </w:p>
        </w:tc>
        <w:tc>
          <w:tcPr>
            <w:tcW w:w="4536" w:type="dxa"/>
          </w:tcPr>
          <w:p w14:paraId="521B25B6" w14:textId="77777777" w:rsidR="00110698" w:rsidRPr="00743BE2" w:rsidRDefault="00110698" w:rsidP="002A5189">
            <w:pPr>
              <w:rPr>
                <w:rFonts w:ascii="Arial" w:hAnsi="Arial" w:cs="Arial"/>
                <w:sz w:val="22"/>
                <w:szCs w:val="22"/>
              </w:rPr>
            </w:pPr>
          </w:p>
        </w:tc>
      </w:tr>
      <w:tr w:rsidR="00110698" w:rsidRPr="00743BE2" w14:paraId="420F0494" w14:textId="77777777" w:rsidTr="002A5189">
        <w:tblPrEx>
          <w:tblCellMar>
            <w:top w:w="0" w:type="dxa"/>
            <w:bottom w:w="0" w:type="dxa"/>
          </w:tblCellMar>
        </w:tblPrEx>
        <w:trPr>
          <w:trHeight w:val="1333"/>
        </w:trPr>
        <w:tc>
          <w:tcPr>
            <w:tcW w:w="5812" w:type="dxa"/>
            <w:vAlign w:val="center"/>
          </w:tcPr>
          <w:p w14:paraId="086A8AEA" w14:textId="77777777" w:rsidR="00110698" w:rsidRPr="00743BE2" w:rsidRDefault="00110698" w:rsidP="002A5189">
            <w:pPr>
              <w:rPr>
                <w:rFonts w:ascii="Arial" w:hAnsi="Arial" w:cs="Arial"/>
                <w:sz w:val="22"/>
                <w:szCs w:val="22"/>
              </w:rPr>
            </w:pPr>
            <w:r w:rsidRPr="00743BE2">
              <w:rPr>
                <w:rFonts w:ascii="Arial" w:hAnsi="Arial" w:cs="Arial"/>
                <w:sz w:val="22"/>
                <w:szCs w:val="22"/>
                <w:u w:val="single"/>
              </w:rPr>
              <w:t>Préciser le délai de</w:t>
            </w:r>
            <w:r w:rsidRPr="00743BE2">
              <w:rPr>
                <w:rFonts w:ascii="Arial" w:hAnsi="Arial" w:cs="Arial"/>
                <w:sz w:val="22"/>
                <w:szCs w:val="22"/>
              </w:rPr>
              <w:t> :</w:t>
            </w:r>
          </w:p>
          <w:p w14:paraId="7A5FEBBA" w14:textId="77777777" w:rsidR="00110698" w:rsidRPr="00743BE2" w:rsidRDefault="00110698" w:rsidP="002A5189">
            <w:pPr>
              <w:rPr>
                <w:rFonts w:ascii="Arial" w:hAnsi="Arial" w:cs="Arial"/>
                <w:sz w:val="22"/>
                <w:szCs w:val="22"/>
              </w:rPr>
            </w:pPr>
            <w:r w:rsidRPr="00743BE2">
              <w:rPr>
                <w:rFonts w:ascii="Arial" w:hAnsi="Arial" w:cs="Arial"/>
                <w:sz w:val="22"/>
                <w:szCs w:val="22"/>
              </w:rPr>
              <w:t xml:space="preserve"> Fourniture des bouteilles, cadres, régulateurs, détendeurs, etc. pour une continuité d’approvisionnement lors des maintenances – quantité transmise par </w:t>
            </w:r>
            <w:smartTag w:uri="urn:schemas-microsoft-com:office:smarttags" w:element="PersonName">
              <w:smartTagPr>
                <w:attr w:name="ProductID" w:val="la Pharmacie"/>
              </w:smartTagPr>
              <w:r w:rsidRPr="00743BE2">
                <w:rPr>
                  <w:rFonts w:ascii="Arial" w:hAnsi="Arial" w:cs="Arial"/>
                  <w:sz w:val="22"/>
                  <w:szCs w:val="22"/>
                </w:rPr>
                <w:t>la Pharmacie</w:t>
              </w:r>
            </w:smartTag>
            <w:r w:rsidRPr="00743BE2">
              <w:rPr>
                <w:rFonts w:ascii="Arial" w:hAnsi="Arial" w:cs="Arial"/>
                <w:sz w:val="22"/>
                <w:szCs w:val="22"/>
              </w:rPr>
              <w:t xml:space="preserve"> du CHD</w:t>
            </w:r>
          </w:p>
        </w:tc>
        <w:tc>
          <w:tcPr>
            <w:tcW w:w="4536" w:type="dxa"/>
          </w:tcPr>
          <w:p w14:paraId="4CE32BAA" w14:textId="77777777" w:rsidR="00110698" w:rsidRPr="00743BE2" w:rsidRDefault="00110698" w:rsidP="002A5189">
            <w:pPr>
              <w:rPr>
                <w:rFonts w:ascii="Arial" w:hAnsi="Arial" w:cs="Arial"/>
                <w:sz w:val="22"/>
                <w:szCs w:val="22"/>
              </w:rPr>
            </w:pPr>
          </w:p>
        </w:tc>
      </w:tr>
      <w:tr w:rsidR="00110698" w:rsidRPr="00743BE2" w14:paraId="05A5B142" w14:textId="77777777" w:rsidTr="002A5189">
        <w:tblPrEx>
          <w:tblCellMar>
            <w:top w:w="0" w:type="dxa"/>
            <w:bottom w:w="0" w:type="dxa"/>
          </w:tblCellMar>
        </w:tblPrEx>
        <w:trPr>
          <w:trHeight w:val="829"/>
        </w:trPr>
        <w:tc>
          <w:tcPr>
            <w:tcW w:w="5812" w:type="dxa"/>
            <w:vAlign w:val="center"/>
          </w:tcPr>
          <w:p w14:paraId="552F8A37" w14:textId="77777777" w:rsidR="00110698" w:rsidRPr="00743BE2" w:rsidRDefault="00110698" w:rsidP="002A5189">
            <w:pPr>
              <w:rPr>
                <w:rFonts w:ascii="Arial" w:hAnsi="Arial" w:cs="Arial"/>
                <w:sz w:val="22"/>
                <w:szCs w:val="22"/>
              </w:rPr>
            </w:pPr>
            <w:r w:rsidRPr="00743BE2">
              <w:rPr>
                <w:rFonts w:ascii="Arial" w:hAnsi="Arial" w:cs="Arial"/>
                <w:sz w:val="22"/>
                <w:szCs w:val="22"/>
              </w:rPr>
              <w:t>Exemple de rapport de maintenance préventive, notamment le contrôle Débit et Pression à chaque prise</w:t>
            </w:r>
          </w:p>
        </w:tc>
        <w:tc>
          <w:tcPr>
            <w:tcW w:w="4536" w:type="dxa"/>
            <w:vAlign w:val="center"/>
          </w:tcPr>
          <w:p w14:paraId="1BD641C4" w14:textId="77777777" w:rsidR="00110698" w:rsidRPr="00743BE2" w:rsidRDefault="00110698" w:rsidP="002A5189">
            <w:pPr>
              <w:jc w:val="center"/>
              <w:rPr>
                <w:rFonts w:ascii="Arial" w:hAnsi="Arial" w:cs="Arial"/>
                <w:sz w:val="22"/>
                <w:szCs w:val="22"/>
              </w:rPr>
            </w:pPr>
            <w:r w:rsidRPr="00743BE2">
              <w:rPr>
                <w:rFonts w:ascii="Arial" w:hAnsi="Arial" w:cs="Arial"/>
                <w:sz w:val="22"/>
                <w:szCs w:val="22"/>
              </w:rPr>
              <w:t>A transmettre obligatoirement</w:t>
            </w:r>
          </w:p>
        </w:tc>
      </w:tr>
      <w:tr w:rsidR="00110698" w:rsidRPr="00743BE2" w14:paraId="1D562E42" w14:textId="77777777" w:rsidTr="002A5189">
        <w:tblPrEx>
          <w:tblCellMar>
            <w:top w:w="0" w:type="dxa"/>
            <w:bottom w:w="0" w:type="dxa"/>
          </w:tblCellMar>
        </w:tblPrEx>
        <w:trPr>
          <w:trHeight w:val="551"/>
        </w:trPr>
        <w:tc>
          <w:tcPr>
            <w:tcW w:w="5812" w:type="dxa"/>
            <w:vAlign w:val="center"/>
          </w:tcPr>
          <w:p w14:paraId="408DD52B" w14:textId="77777777" w:rsidR="00110698" w:rsidRPr="00743BE2" w:rsidRDefault="00110698" w:rsidP="002A5189">
            <w:pPr>
              <w:rPr>
                <w:rFonts w:ascii="Arial" w:hAnsi="Arial" w:cs="Arial"/>
                <w:sz w:val="22"/>
                <w:szCs w:val="22"/>
              </w:rPr>
            </w:pPr>
            <w:r w:rsidRPr="00743BE2">
              <w:rPr>
                <w:rFonts w:ascii="Arial" w:hAnsi="Arial" w:cs="Arial"/>
                <w:sz w:val="22"/>
                <w:szCs w:val="22"/>
              </w:rPr>
              <w:t>Maintenance centrale vide 4 pompes Evisa E 200</w:t>
            </w:r>
          </w:p>
        </w:tc>
        <w:tc>
          <w:tcPr>
            <w:tcW w:w="4536" w:type="dxa"/>
            <w:vAlign w:val="center"/>
          </w:tcPr>
          <w:p w14:paraId="1C37A233" w14:textId="77777777" w:rsidR="00110698" w:rsidRPr="00743BE2" w:rsidRDefault="00110698" w:rsidP="002A5189">
            <w:pPr>
              <w:jc w:val="center"/>
              <w:rPr>
                <w:rFonts w:ascii="Arial" w:hAnsi="Arial" w:cs="Arial"/>
                <w:sz w:val="22"/>
                <w:szCs w:val="22"/>
              </w:rPr>
            </w:pPr>
          </w:p>
        </w:tc>
      </w:tr>
      <w:tr w:rsidR="00110698" w:rsidRPr="00743BE2" w14:paraId="5DD8537B" w14:textId="77777777" w:rsidTr="002A5189">
        <w:tblPrEx>
          <w:tblCellMar>
            <w:top w:w="0" w:type="dxa"/>
            <w:bottom w:w="0" w:type="dxa"/>
          </w:tblCellMar>
        </w:tblPrEx>
        <w:trPr>
          <w:trHeight w:val="984"/>
        </w:trPr>
        <w:tc>
          <w:tcPr>
            <w:tcW w:w="5812" w:type="dxa"/>
            <w:vAlign w:val="center"/>
          </w:tcPr>
          <w:p w14:paraId="0E396881" w14:textId="77777777" w:rsidR="00110698" w:rsidRPr="00743BE2" w:rsidRDefault="00110698" w:rsidP="002A5189">
            <w:pPr>
              <w:rPr>
                <w:rFonts w:ascii="Arial" w:hAnsi="Arial" w:cs="Arial"/>
                <w:sz w:val="22"/>
                <w:szCs w:val="22"/>
                <w:highlight w:val="yellow"/>
              </w:rPr>
            </w:pPr>
            <w:r w:rsidRPr="00743BE2">
              <w:rPr>
                <w:rFonts w:ascii="Arial" w:hAnsi="Arial" w:cs="Arial"/>
                <w:sz w:val="22"/>
                <w:szCs w:val="22"/>
              </w:rPr>
              <w:t>Le fournisseur devra détailler sa façon de secourir l’hôpital en cas de panne totale de la centrale d’aspiration sur le vide médical</w:t>
            </w:r>
          </w:p>
        </w:tc>
        <w:tc>
          <w:tcPr>
            <w:tcW w:w="4536" w:type="dxa"/>
            <w:vAlign w:val="center"/>
          </w:tcPr>
          <w:p w14:paraId="4B6ADE20" w14:textId="77777777" w:rsidR="00110698" w:rsidRPr="00743BE2" w:rsidRDefault="00110698" w:rsidP="002A5189">
            <w:pPr>
              <w:jc w:val="center"/>
              <w:rPr>
                <w:rFonts w:ascii="Arial" w:hAnsi="Arial" w:cs="Arial"/>
                <w:sz w:val="22"/>
                <w:szCs w:val="22"/>
              </w:rPr>
            </w:pPr>
          </w:p>
        </w:tc>
      </w:tr>
      <w:tr w:rsidR="00110698" w:rsidRPr="00743BE2" w14:paraId="4E56329F" w14:textId="77777777" w:rsidTr="002A5189">
        <w:tblPrEx>
          <w:tblCellMar>
            <w:top w:w="0" w:type="dxa"/>
            <w:bottom w:w="0" w:type="dxa"/>
          </w:tblCellMar>
        </w:tblPrEx>
        <w:trPr>
          <w:trHeight w:val="573"/>
        </w:trPr>
        <w:tc>
          <w:tcPr>
            <w:tcW w:w="5812" w:type="dxa"/>
            <w:vAlign w:val="center"/>
          </w:tcPr>
          <w:p w14:paraId="4F077810" w14:textId="77777777" w:rsidR="00110698" w:rsidRPr="00743BE2" w:rsidRDefault="00110698" w:rsidP="002A5189">
            <w:pPr>
              <w:rPr>
                <w:rFonts w:ascii="Arial" w:hAnsi="Arial" w:cs="Arial"/>
                <w:sz w:val="22"/>
                <w:szCs w:val="22"/>
              </w:rPr>
            </w:pPr>
            <w:r w:rsidRPr="00743BE2">
              <w:rPr>
                <w:rFonts w:ascii="Arial" w:hAnsi="Arial" w:cs="Arial"/>
                <w:sz w:val="22"/>
                <w:szCs w:val="22"/>
              </w:rPr>
              <w:t>Exemple de schéma synoptique</w:t>
            </w:r>
          </w:p>
        </w:tc>
        <w:tc>
          <w:tcPr>
            <w:tcW w:w="4536" w:type="dxa"/>
            <w:vAlign w:val="center"/>
          </w:tcPr>
          <w:p w14:paraId="6C95EA9B" w14:textId="77777777" w:rsidR="00110698" w:rsidRPr="00743BE2" w:rsidRDefault="00110698" w:rsidP="002A5189">
            <w:pPr>
              <w:jc w:val="center"/>
              <w:rPr>
                <w:rFonts w:ascii="Arial" w:hAnsi="Arial" w:cs="Arial"/>
                <w:sz w:val="22"/>
                <w:szCs w:val="22"/>
              </w:rPr>
            </w:pPr>
            <w:r w:rsidRPr="00743BE2">
              <w:rPr>
                <w:rFonts w:ascii="Arial" w:hAnsi="Arial" w:cs="Arial"/>
                <w:sz w:val="22"/>
                <w:szCs w:val="22"/>
              </w:rPr>
              <w:t>A transmettre obligatoirement</w:t>
            </w:r>
          </w:p>
        </w:tc>
      </w:tr>
      <w:tr w:rsidR="00110698" w:rsidRPr="00743BE2" w14:paraId="7C08D148" w14:textId="77777777" w:rsidTr="002A5189">
        <w:tblPrEx>
          <w:tblCellMar>
            <w:top w:w="0" w:type="dxa"/>
            <w:bottom w:w="0" w:type="dxa"/>
          </w:tblCellMar>
        </w:tblPrEx>
        <w:trPr>
          <w:trHeight w:val="553"/>
        </w:trPr>
        <w:tc>
          <w:tcPr>
            <w:tcW w:w="5812" w:type="dxa"/>
            <w:vAlign w:val="center"/>
          </w:tcPr>
          <w:p w14:paraId="5BE0D068" w14:textId="77777777" w:rsidR="00110698" w:rsidRPr="00743BE2" w:rsidRDefault="00110698" w:rsidP="002A5189">
            <w:pPr>
              <w:rPr>
                <w:rFonts w:ascii="Arial" w:hAnsi="Arial" w:cs="Arial"/>
                <w:sz w:val="22"/>
                <w:szCs w:val="22"/>
              </w:rPr>
            </w:pPr>
            <w:r w:rsidRPr="00743BE2">
              <w:rPr>
                <w:rFonts w:ascii="Arial" w:hAnsi="Arial" w:cs="Arial"/>
                <w:sz w:val="22"/>
                <w:szCs w:val="22"/>
              </w:rPr>
              <w:t>Exemple de plan des gaz médicaux par étage</w:t>
            </w:r>
          </w:p>
        </w:tc>
        <w:tc>
          <w:tcPr>
            <w:tcW w:w="4536" w:type="dxa"/>
            <w:vAlign w:val="center"/>
          </w:tcPr>
          <w:p w14:paraId="5AA80D08" w14:textId="77777777" w:rsidR="00110698" w:rsidRPr="00743BE2" w:rsidRDefault="00110698" w:rsidP="002A5189">
            <w:pPr>
              <w:jc w:val="center"/>
              <w:rPr>
                <w:rFonts w:ascii="Arial" w:hAnsi="Arial" w:cs="Arial"/>
                <w:sz w:val="22"/>
                <w:szCs w:val="22"/>
              </w:rPr>
            </w:pPr>
            <w:r w:rsidRPr="00743BE2">
              <w:rPr>
                <w:rFonts w:ascii="Arial" w:hAnsi="Arial" w:cs="Arial"/>
                <w:sz w:val="22"/>
                <w:szCs w:val="22"/>
              </w:rPr>
              <w:t>A transmettre obligatoirement</w:t>
            </w:r>
          </w:p>
        </w:tc>
      </w:tr>
      <w:tr w:rsidR="00110698" w:rsidRPr="00743BE2" w14:paraId="092B8FA3" w14:textId="77777777" w:rsidTr="002A5189">
        <w:tblPrEx>
          <w:tblCellMar>
            <w:top w:w="0" w:type="dxa"/>
            <w:bottom w:w="0" w:type="dxa"/>
          </w:tblCellMar>
        </w:tblPrEx>
        <w:trPr>
          <w:trHeight w:val="831"/>
        </w:trPr>
        <w:tc>
          <w:tcPr>
            <w:tcW w:w="5812" w:type="dxa"/>
            <w:vAlign w:val="center"/>
          </w:tcPr>
          <w:p w14:paraId="7951AE24" w14:textId="77777777" w:rsidR="00110698" w:rsidRPr="00743BE2" w:rsidRDefault="00110698" w:rsidP="002A5189">
            <w:pPr>
              <w:rPr>
                <w:rFonts w:ascii="Arial" w:hAnsi="Arial" w:cs="Arial"/>
                <w:sz w:val="22"/>
                <w:szCs w:val="22"/>
              </w:rPr>
            </w:pPr>
            <w:r w:rsidRPr="00743BE2">
              <w:rPr>
                <w:rFonts w:ascii="Arial" w:hAnsi="Arial" w:cs="Arial"/>
                <w:sz w:val="22"/>
                <w:szCs w:val="22"/>
              </w:rPr>
              <w:t xml:space="preserve">Réactualisation des synoptiques tous les ans si modification et transmission en 5 exemplaires papier + 1 en </w:t>
            </w:r>
            <w:proofErr w:type="spellStart"/>
            <w:r w:rsidRPr="00743BE2">
              <w:rPr>
                <w:rFonts w:ascii="Arial" w:hAnsi="Arial" w:cs="Arial"/>
                <w:sz w:val="22"/>
                <w:szCs w:val="22"/>
              </w:rPr>
              <w:t>dwg</w:t>
            </w:r>
            <w:proofErr w:type="spellEnd"/>
          </w:p>
        </w:tc>
        <w:tc>
          <w:tcPr>
            <w:tcW w:w="4536" w:type="dxa"/>
            <w:vAlign w:val="center"/>
          </w:tcPr>
          <w:p w14:paraId="4D928600" w14:textId="77777777" w:rsidR="00110698" w:rsidRPr="00743BE2" w:rsidRDefault="00110698" w:rsidP="002A5189">
            <w:pPr>
              <w:jc w:val="center"/>
              <w:rPr>
                <w:rFonts w:ascii="Arial" w:hAnsi="Arial" w:cs="Arial"/>
                <w:sz w:val="22"/>
                <w:szCs w:val="22"/>
              </w:rPr>
            </w:pPr>
          </w:p>
        </w:tc>
      </w:tr>
    </w:tbl>
    <w:p w14:paraId="67320753" w14:textId="77777777" w:rsidR="00110698" w:rsidRPr="00743BE2" w:rsidRDefault="00110698" w:rsidP="00110698">
      <w:pPr>
        <w:numPr>
          <w:ilvl w:val="12"/>
          <w:numId w:val="0"/>
        </w:numPr>
        <w:jc w:val="center"/>
        <w:rPr>
          <w:rFonts w:ascii="Arial" w:hAnsi="Arial" w:cs="Arial"/>
          <w:sz w:val="22"/>
          <w:szCs w:val="22"/>
        </w:rPr>
      </w:pPr>
    </w:p>
    <w:p w14:paraId="054FF451" w14:textId="77777777" w:rsidR="00110698" w:rsidRDefault="00110698" w:rsidP="00110698">
      <w:pPr>
        <w:jc w:val="both"/>
        <w:rPr>
          <w:rFonts w:ascii="Arial" w:hAnsi="Arial" w:cs="Arial"/>
          <w:sz w:val="22"/>
          <w:szCs w:val="22"/>
        </w:rPr>
      </w:pPr>
    </w:p>
    <w:p w14:paraId="675C6FE3" w14:textId="77777777" w:rsidR="00110698" w:rsidRDefault="00110698" w:rsidP="00110698">
      <w:pPr>
        <w:jc w:val="both"/>
        <w:rPr>
          <w:rFonts w:ascii="Arial" w:hAnsi="Arial" w:cs="Arial"/>
          <w:sz w:val="22"/>
          <w:szCs w:val="22"/>
        </w:rPr>
      </w:pPr>
    </w:p>
    <w:p w14:paraId="603D3499" w14:textId="77777777" w:rsidR="00110698" w:rsidRPr="00743BE2" w:rsidRDefault="00110698" w:rsidP="00110698">
      <w:pPr>
        <w:jc w:val="both"/>
        <w:rPr>
          <w:rFonts w:ascii="Arial" w:hAnsi="Arial" w:cs="Arial"/>
          <w:sz w:val="22"/>
          <w:szCs w:val="22"/>
        </w:rPr>
      </w:pPr>
    </w:p>
    <w:p w14:paraId="2717C952" w14:textId="77777777" w:rsidR="00110698" w:rsidRPr="00743BE2" w:rsidRDefault="00110698" w:rsidP="00110698">
      <w:pPr>
        <w:jc w:val="both"/>
        <w:rPr>
          <w:rFonts w:ascii="Arial" w:hAnsi="Arial" w:cs="Arial"/>
          <w:sz w:val="22"/>
          <w:szCs w:val="22"/>
        </w:rPr>
      </w:pPr>
    </w:p>
    <w:p w14:paraId="56930C4E" w14:textId="77777777" w:rsidR="00110698" w:rsidRPr="00743BE2" w:rsidRDefault="00110698" w:rsidP="00110698">
      <w:pPr>
        <w:rPr>
          <w:rFonts w:ascii="Arial" w:hAnsi="Arial" w:cs="Arial"/>
          <w:sz w:val="22"/>
          <w:szCs w:val="22"/>
        </w:rPr>
      </w:pPr>
      <w:r w:rsidRPr="00743BE2">
        <w:rPr>
          <w:rFonts w:ascii="Arial" w:hAnsi="Arial" w:cs="Arial"/>
          <w:sz w:val="22"/>
          <w:szCs w:val="22"/>
        </w:rPr>
        <w:t>Fait à …………………</w:t>
      </w:r>
      <w:proofErr w:type="gramStart"/>
      <w:r w:rsidRPr="00743BE2">
        <w:rPr>
          <w:rFonts w:ascii="Arial" w:hAnsi="Arial" w:cs="Arial"/>
          <w:sz w:val="22"/>
          <w:szCs w:val="22"/>
        </w:rPr>
        <w:t>…….</w:t>
      </w:r>
      <w:proofErr w:type="gramEnd"/>
      <w:r w:rsidRPr="00743BE2">
        <w:rPr>
          <w:rFonts w:ascii="Arial" w:hAnsi="Arial" w:cs="Arial"/>
          <w:sz w:val="22"/>
          <w:szCs w:val="22"/>
        </w:rPr>
        <w:t>, le ……………………………</w:t>
      </w:r>
    </w:p>
    <w:p w14:paraId="624BEB0B" w14:textId="77777777" w:rsidR="00110698" w:rsidRPr="00743BE2" w:rsidRDefault="00110698" w:rsidP="00110698">
      <w:pPr>
        <w:rPr>
          <w:rFonts w:ascii="Arial" w:hAnsi="Arial" w:cs="Arial"/>
          <w:sz w:val="22"/>
          <w:szCs w:val="22"/>
        </w:rPr>
      </w:pPr>
      <w:r w:rsidRPr="00743BE2">
        <w:rPr>
          <w:rFonts w:ascii="Arial" w:hAnsi="Arial" w:cs="Arial"/>
          <w:b/>
          <w:sz w:val="22"/>
          <w:szCs w:val="22"/>
        </w:rPr>
        <w:t xml:space="preserve">Signature du titulaire + cachet </w:t>
      </w:r>
      <w:r w:rsidRPr="00743BE2">
        <w:rPr>
          <w:rFonts w:ascii="Arial" w:hAnsi="Arial" w:cs="Arial"/>
          <w:sz w:val="22"/>
          <w:szCs w:val="22"/>
        </w:rPr>
        <w:t>(personne habilitée à signer le marché public</w:t>
      </w:r>
    </w:p>
    <w:p w14:paraId="11D41904" w14:textId="77777777" w:rsidR="008A50A9" w:rsidRDefault="00110698">
      <w:bookmarkStart w:id="0" w:name="_GoBack"/>
      <w:bookmarkEnd w:id="0"/>
    </w:p>
    <w:sectPr w:rsidR="008A50A9" w:rsidSect="00433FA3">
      <w:headerReference w:type="default" r:id="rId5"/>
      <w:footerReference w:type="even" r:id="rId6"/>
      <w:footerReference w:type="default" r:id="rId7"/>
      <w:pgSz w:w="11906" w:h="16838"/>
      <w:pgMar w:top="1134" w:right="1418" w:bottom="992" w:left="1418"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altName w:val="Times New Roman"/>
    <w:charset w:val="00"/>
    <w:family w:val="auto"/>
    <w:pitch w:val="variable"/>
    <w:sig w:usb0="00000001" w:usb1="5000217F" w:usb2="00000021" w:usb3="00000000" w:csb0="0000019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61595" w14:textId="77777777" w:rsidR="002C0AAF" w:rsidRDefault="00110698" w:rsidP="005F7EC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1E6DCAF" w14:textId="77777777" w:rsidR="002C0AAF" w:rsidRDefault="00110698" w:rsidP="005B381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37D795" w14:textId="77777777" w:rsidR="002C0AAF" w:rsidRPr="002701B9" w:rsidRDefault="00110698">
    <w:pPr>
      <w:pStyle w:val="Pieddepage"/>
      <w:jc w:val="center"/>
      <w:rPr>
        <w:rFonts w:ascii="Comic Sans MS" w:hAnsi="Comic Sans MS"/>
      </w:rPr>
    </w:pPr>
    <w:r w:rsidRPr="002701B9">
      <w:rPr>
        <w:rFonts w:ascii="Comic Sans MS" w:hAnsi="Comic Sans MS"/>
      </w:rPr>
      <w:t xml:space="preserve">Page </w:t>
    </w:r>
    <w:r w:rsidRPr="002701B9">
      <w:rPr>
        <w:rFonts w:ascii="Comic Sans MS" w:hAnsi="Comic Sans MS"/>
        <w:b/>
        <w:bCs/>
        <w:sz w:val="24"/>
        <w:szCs w:val="24"/>
      </w:rPr>
      <w:fldChar w:fldCharType="begin"/>
    </w:r>
    <w:r w:rsidRPr="002701B9">
      <w:rPr>
        <w:rFonts w:ascii="Comic Sans MS" w:hAnsi="Comic Sans MS"/>
        <w:b/>
        <w:bCs/>
      </w:rPr>
      <w:instrText>PAGE</w:instrText>
    </w:r>
    <w:r w:rsidRPr="002701B9">
      <w:rPr>
        <w:rFonts w:ascii="Comic Sans MS" w:hAnsi="Comic Sans MS"/>
        <w:b/>
        <w:bCs/>
        <w:sz w:val="24"/>
        <w:szCs w:val="24"/>
      </w:rPr>
      <w:fldChar w:fldCharType="separate"/>
    </w:r>
    <w:r>
      <w:rPr>
        <w:rFonts w:ascii="Comic Sans MS" w:hAnsi="Comic Sans MS"/>
        <w:b/>
        <w:bCs/>
        <w:noProof/>
      </w:rPr>
      <w:t>1</w:t>
    </w:r>
    <w:r w:rsidRPr="002701B9">
      <w:rPr>
        <w:rFonts w:ascii="Comic Sans MS" w:hAnsi="Comic Sans MS"/>
        <w:b/>
        <w:bCs/>
        <w:sz w:val="24"/>
        <w:szCs w:val="24"/>
      </w:rPr>
      <w:fldChar w:fldCharType="end"/>
    </w:r>
    <w:r w:rsidRPr="002701B9">
      <w:rPr>
        <w:rFonts w:ascii="Comic Sans MS" w:hAnsi="Comic Sans MS"/>
      </w:rPr>
      <w:t xml:space="preserve"> sur </w:t>
    </w:r>
    <w:r w:rsidRPr="002701B9">
      <w:rPr>
        <w:rFonts w:ascii="Comic Sans MS" w:hAnsi="Comic Sans MS"/>
        <w:b/>
        <w:bCs/>
        <w:sz w:val="24"/>
        <w:szCs w:val="24"/>
      </w:rPr>
      <w:fldChar w:fldCharType="begin"/>
    </w:r>
    <w:r w:rsidRPr="002701B9">
      <w:rPr>
        <w:rFonts w:ascii="Comic Sans MS" w:hAnsi="Comic Sans MS"/>
        <w:b/>
        <w:bCs/>
      </w:rPr>
      <w:instrText>NUMPAGES</w:instrText>
    </w:r>
    <w:r w:rsidRPr="002701B9">
      <w:rPr>
        <w:rFonts w:ascii="Comic Sans MS" w:hAnsi="Comic Sans MS"/>
        <w:b/>
        <w:bCs/>
        <w:sz w:val="24"/>
        <w:szCs w:val="24"/>
      </w:rPr>
      <w:fldChar w:fldCharType="separate"/>
    </w:r>
    <w:r>
      <w:rPr>
        <w:rFonts w:ascii="Comic Sans MS" w:hAnsi="Comic Sans MS"/>
        <w:b/>
        <w:bCs/>
        <w:noProof/>
      </w:rPr>
      <w:t>18</w:t>
    </w:r>
    <w:r w:rsidRPr="002701B9">
      <w:rPr>
        <w:rFonts w:ascii="Comic Sans MS" w:hAnsi="Comic Sans MS"/>
        <w:b/>
        <w:bCs/>
        <w:sz w:val="24"/>
        <w:szCs w:val="24"/>
      </w:rPr>
      <w:fldChar w:fldCharType="end"/>
    </w:r>
  </w:p>
  <w:p w14:paraId="63565B8C" w14:textId="77777777" w:rsidR="002C0AAF" w:rsidRDefault="00110698" w:rsidP="007175D1">
    <w:pPr>
      <w:pStyle w:val="Pieddepage"/>
      <w:ind w:right="360"/>
      <w:jc w:val="cen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F621A" w14:textId="46530E1C" w:rsidR="002C0AAF" w:rsidRDefault="00110698">
    <w:pPr>
      <w:pStyle w:val="En-tte"/>
    </w:pPr>
    <w:r>
      <w:rPr>
        <w:noProof/>
      </w:rPr>
      <w:drawing>
        <wp:inline distT="0" distB="0" distL="0" distR="0" wp14:anchorId="1584F59E" wp14:editId="6F87C30F">
          <wp:extent cx="2486025" cy="1228725"/>
          <wp:effectExtent l="0" t="0" r="9525" b="9525"/>
          <wp:docPr id="1" name="Image 1" descr="Logo_C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H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6025" cy="1228725"/>
                  </a:xfrm>
                  <a:prstGeom prst="rect">
                    <a:avLst/>
                  </a:prstGeom>
                  <a:noFill/>
                  <a:ln>
                    <a:noFill/>
                  </a:ln>
                </pic:spPr>
              </pic:pic>
            </a:graphicData>
          </a:graphic>
        </wp:inline>
      </w:drawing>
    </w:r>
  </w:p>
  <w:p w14:paraId="36F33FA9" w14:textId="77777777" w:rsidR="002C0AAF" w:rsidRPr="00AF309D" w:rsidRDefault="00110698">
    <w:pPr>
      <w:pStyle w:val="En-tte"/>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546E30"/>
    <w:multiLevelType w:val="hybridMultilevel"/>
    <w:tmpl w:val="6874AC58"/>
    <w:lvl w:ilvl="0" w:tplc="0C6273B8">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732"/>
    <w:rsid w:val="00040108"/>
    <w:rsid w:val="00110698"/>
    <w:rsid w:val="00974EB4"/>
    <w:rsid w:val="00D027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6561B652-6C18-4187-ABE7-DCC5A1999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0698"/>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110698"/>
    <w:pPr>
      <w:tabs>
        <w:tab w:val="center" w:pos="4536"/>
        <w:tab w:val="right" w:pos="9072"/>
      </w:tabs>
    </w:pPr>
  </w:style>
  <w:style w:type="character" w:customStyle="1" w:styleId="En-tteCar">
    <w:name w:val="En-tête Car"/>
    <w:basedOn w:val="Policepardfaut"/>
    <w:link w:val="En-tte"/>
    <w:rsid w:val="00110698"/>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rsid w:val="00110698"/>
    <w:pPr>
      <w:tabs>
        <w:tab w:val="center" w:pos="4536"/>
        <w:tab w:val="right" w:pos="9072"/>
      </w:tabs>
    </w:pPr>
  </w:style>
  <w:style w:type="character" w:customStyle="1" w:styleId="PieddepageCar">
    <w:name w:val="Pied de page Car"/>
    <w:basedOn w:val="Policepardfaut"/>
    <w:link w:val="Pieddepage"/>
    <w:uiPriority w:val="99"/>
    <w:rsid w:val="00110698"/>
    <w:rPr>
      <w:rFonts w:ascii="Times New Roman" w:eastAsia="Times New Roman" w:hAnsi="Times New Roman" w:cs="Times New Roman"/>
      <w:sz w:val="20"/>
      <w:szCs w:val="20"/>
      <w:lang w:eastAsia="fr-FR"/>
    </w:rPr>
  </w:style>
  <w:style w:type="character" w:styleId="Numrodepage">
    <w:name w:val="page number"/>
    <w:basedOn w:val="Policepardfaut"/>
    <w:rsid w:val="001106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429</Words>
  <Characters>2364</Characters>
  <Application>Microsoft Office Word</Application>
  <DocSecurity>0</DocSecurity>
  <Lines>19</Lines>
  <Paragraphs>5</Paragraphs>
  <ScaleCrop>false</ScaleCrop>
  <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Bernardara, louise</dc:creator>
  <cp:keywords/>
  <dc:description/>
  <cp:lastModifiedBy>Bernardara, louise</cp:lastModifiedBy>
  <cp:revision>2</cp:revision>
  <dcterms:created xsi:type="dcterms:W3CDTF">2026-02-10T09:29:00Z</dcterms:created>
  <dcterms:modified xsi:type="dcterms:W3CDTF">2026-02-10T09:29:00Z</dcterms:modified>
</cp:coreProperties>
</file>